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27" w:rsidRDefault="001E1127" w:rsidP="001E1127">
      <w:pPr>
        <w:pStyle w:val="KeinLeerraum"/>
        <w:rPr>
          <w:rFonts w:ascii="Arial" w:hAnsi="Arial" w:cs="Arial"/>
          <w:b/>
        </w:rPr>
      </w:pPr>
      <w:r w:rsidRPr="001E1127">
        <w:rPr>
          <w:rFonts w:ascii="Arial" w:hAnsi="Arial" w:cs="Arial"/>
          <w:b/>
        </w:rPr>
        <w:t>Weitere Hinweise zum Förderverfahren</w:t>
      </w:r>
      <w:r>
        <w:rPr>
          <w:rFonts w:ascii="Arial" w:hAnsi="Arial" w:cs="Arial"/>
          <w:b/>
        </w:rPr>
        <w:t xml:space="preserve"> im Rahmen des </w:t>
      </w:r>
      <w:r w:rsidRPr="001E1127">
        <w:rPr>
          <w:rFonts w:ascii="Arial" w:hAnsi="Arial" w:cs="Arial"/>
          <w:b/>
        </w:rPr>
        <w:t>Investitionsprogramm</w:t>
      </w:r>
      <w:r w:rsidRPr="001E1127">
        <w:rPr>
          <w:rFonts w:ascii="Arial" w:hAnsi="Arial" w:cs="Arial"/>
          <w:b/>
        </w:rPr>
        <w:t>es</w:t>
      </w:r>
      <w:r w:rsidRPr="001E1127">
        <w:rPr>
          <w:rFonts w:ascii="Arial" w:hAnsi="Arial" w:cs="Arial"/>
          <w:b/>
        </w:rPr>
        <w:t xml:space="preserve"> </w:t>
      </w:r>
    </w:p>
    <w:p w:rsidR="00F472F0" w:rsidRPr="001E1127" w:rsidRDefault="001E1127" w:rsidP="001E1127">
      <w:pPr>
        <w:pStyle w:val="KeinLeerraum"/>
        <w:rPr>
          <w:rFonts w:ascii="Arial" w:hAnsi="Arial" w:cs="Arial"/>
          <w:b/>
        </w:rPr>
      </w:pPr>
      <w:r w:rsidRPr="001E1127">
        <w:rPr>
          <w:rFonts w:ascii="Arial" w:hAnsi="Arial" w:cs="Arial"/>
          <w:b/>
        </w:rPr>
        <w:t>„Barrierefreies Bauen – Lieblingsplätze für alle“ 2025</w:t>
      </w:r>
      <w:r w:rsidRPr="001E1127">
        <w:rPr>
          <w:rFonts w:ascii="Arial" w:hAnsi="Arial" w:cs="Arial"/>
          <w:b/>
        </w:rPr>
        <w:t>:</w:t>
      </w:r>
    </w:p>
    <w:p w:rsidR="001E1127" w:rsidRDefault="001E1127" w:rsidP="001E1127">
      <w:pPr>
        <w:pStyle w:val="KeinLeerraum"/>
        <w:rPr>
          <w:rFonts w:ascii="Arial" w:hAnsi="Arial" w:cs="Arial"/>
        </w:rPr>
      </w:pPr>
    </w:p>
    <w:p w:rsidR="001E1127" w:rsidRPr="004332AD" w:rsidRDefault="001E1127" w:rsidP="001E1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32AD">
        <w:rPr>
          <w:rFonts w:ascii="Arial" w:hAnsi="Arial" w:cs="Arial"/>
          <w:b/>
        </w:rPr>
        <w:t>Schwerpunkte des Landkreises Zwickau 202</w:t>
      </w:r>
      <w:r>
        <w:rPr>
          <w:rFonts w:ascii="Arial" w:hAnsi="Arial" w:cs="Arial"/>
          <w:b/>
        </w:rPr>
        <w:t>5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Bewertung der Maßnahmen zur Priorisierung 2025 erfolgt anhand folgender Kriterien und </w:t>
      </w:r>
      <w:r w:rsidRPr="00D85038">
        <w:rPr>
          <w:rFonts w:ascii="Arial" w:hAnsi="Arial" w:cs="Arial"/>
        </w:rPr>
        <w:t xml:space="preserve">Rangfolgen für </w:t>
      </w:r>
      <w:r w:rsidRPr="00B372C9">
        <w:rPr>
          <w:rFonts w:ascii="Arial" w:hAnsi="Arial" w:cs="Arial"/>
        </w:rPr>
        <w:t>Arzt-/Zahnarztpraxen</w:t>
      </w:r>
      <w:r w:rsidRPr="00D85038">
        <w:rPr>
          <w:rFonts w:ascii="Arial" w:hAnsi="Arial" w:cs="Arial"/>
        </w:rPr>
        <w:t>:</w:t>
      </w:r>
    </w:p>
    <w:p w:rsidR="001E1127" w:rsidRPr="002B14EF" w:rsidRDefault="001E1127" w:rsidP="001E1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E1127" w:rsidRPr="00A34F23" w:rsidRDefault="001E1127" w:rsidP="001E112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Behinderungsart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Barrierefreiheit für sensorische/seelische/geistige Beeinträchtigungen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Barrierefreiheit für andere Beeinträchtigungen (z. B. Suchtkranke,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Epileptiker)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Rang 3 Barrierefreiheit für motorische Beeinträchtigungen </w:t>
      </w:r>
    </w:p>
    <w:p w:rsidR="001E1127" w:rsidRPr="00A34F23" w:rsidRDefault="001E1127" w:rsidP="001E112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ärztliche Fachrichtung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Hausarztpraxen (Allgemeinmediziner oder Internisten mit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Hausarztpraxis)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sonstige Facharztpraxen mit Patientenkontakt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Zahnarztpraxen</w:t>
      </w:r>
    </w:p>
    <w:p w:rsidR="001E1127" w:rsidRPr="00A34F23" w:rsidRDefault="001E1127" w:rsidP="001E112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Rechtsform des Antragstellers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niedergelassene Ärzte mit kassenärztlicher Zulassung in eigener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Praxis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MVZ und angeschlossene Praxen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sonstige Arztpraxen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Bewertung der Maßnahmen zur Priorisierung 2025 erfolgt anhand folgender Kriterien und </w:t>
      </w:r>
      <w:r w:rsidRPr="00D85038">
        <w:rPr>
          <w:rFonts w:ascii="Arial" w:hAnsi="Arial" w:cs="Arial"/>
        </w:rPr>
        <w:t>Rangfolgen für alle übrigen Bereiche</w:t>
      </w:r>
      <w:r>
        <w:rPr>
          <w:rFonts w:ascii="Arial" w:hAnsi="Arial" w:cs="Arial"/>
        </w:rPr>
        <w:t>: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127" w:rsidRPr="00A34F23" w:rsidRDefault="001E1127" w:rsidP="001E112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Behinderungsart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Barrierefreiheit für sensorische/seelische/geistige Beeinträchtigungen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Barrierefreiheit für andere Beeinträchtigungen (z. B. Suchtkranke,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Epileptiker)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Rang 3 Barrierefreiheit für motorische Beeinträchtigungen </w:t>
      </w:r>
    </w:p>
    <w:p w:rsidR="001E1127" w:rsidRPr="00A34F23" w:rsidRDefault="001E1127" w:rsidP="001E112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Förderbereich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Bildung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Gastronomie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Kultur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4 Gesundheit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5 Freizeit</w:t>
      </w:r>
    </w:p>
    <w:p w:rsidR="001E1127" w:rsidRPr="00A34F23" w:rsidRDefault="001E1127" w:rsidP="001E112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Rechtsform des Antragstellers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private Antragsteller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kleinere Vereine (bis zehn hauptamtlich beschäftigte Mitarbeiter)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Wohlfahrtsverbände und große Vereine (mehr als zehn hauptamtlich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beschäftigte Mitarbeiter)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4 sonstige Körperschaften des öffentlichen Rechts</w:t>
      </w:r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5 kommunale Gebietskörperschaften</w:t>
      </w:r>
      <w:bookmarkStart w:id="0" w:name="_GoBack"/>
      <w:bookmarkEnd w:id="0"/>
    </w:p>
    <w:p w:rsidR="001E1127" w:rsidRDefault="001E1127" w:rsidP="001E112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</w:p>
    <w:p w:rsidR="001E1127" w:rsidRPr="00D85038" w:rsidRDefault="001E1127" w:rsidP="001E1127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 xml:space="preserve">Die Fördermittel werden </w:t>
      </w:r>
      <w:r>
        <w:rPr>
          <w:rFonts w:ascii="Arial" w:hAnsi="Arial" w:cs="Arial"/>
        </w:rPr>
        <w:t>anteilig</w:t>
      </w:r>
      <w:r w:rsidRPr="00D85038">
        <w:rPr>
          <w:rFonts w:ascii="Arial" w:hAnsi="Arial" w:cs="Arial"/>
        </w:rPr>
        <w:t xml:space="preserve"> auf die fünf im Landkreis vorhandenen Planungsräume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 xml:space="preserve">entsprechend der Einwohnerzahlen im Verhältnis zum Gesamtlandkreis </w:t>
      </w:r>
      <w:r>
        <w:rPr>
          <w:rFonts w:ascii="Arial" w:hAnsi="Arial" w:cs="Arial"/>
        </w:rPr>
        <w:t xml:space="preserve">und unter Berücksichtigung der Planungsraumbelastung im Bereich Teilhabe </w:t>
      </w:r>
      <w:r w:rsidRPr="00D85038">
        <w:rPr>
          <w:rFonts w:ascii="Arial" w:hAnsi="Arial" w:cs="Arial"/>
        </w:rPr>
        <w:t>ver</w:t>
      </w:r>
      <w:r>
        <w:rPr>
          <w:rFonts w:ascii="Arial" w:hAnsi="Arial" w:cs="Arial"/>
        </w:rPr>
        <w:t>geben</w:t>
      </w:r>
      <w:r w:rsidRPr="00D85038">
        <w:rPr>
          <w:rFonts w:ascii="Arial" w:hAnsi="Arial" w:cs="Arial"/>
        </w:rPr>
        <w:t>. Es erfolgt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>eine Rangordnung innerhalb der Planungsräume.</w:t>
      </w:r>
      <w:r>
        <w:rPr>
          <w:rFonts w:ascii="Arial" w:hAnsi="Arial" w:cs="Arial"/>
        </w:rPr>
        <w:t xml:space="preserve"> </w:t>
      </w:r>
    </w:p>
    <w:p w:rsidR="001E1127" w:rsidRPr="00D85038" w:rsidRDefault="001E1127" w:rsidP="001E1127">
      <w:pPr>
        <w:pStyle w:val="KeinLeerraum"/>
        <w:rPr>
          <w:rFonts w:ascii="Arial" w:hAnsi="Arial" w:cs="Arial"/>
        </w:rPr>
      </w:pPr>
    </w:p>
    <w:p w:rsidR="001E1127" w:rsidRPr="00D85038" w:rsidRDefault="001E1127" w:rsidP="001E1127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Die anhand der Förderkriterien geprüften und nach den Schwerpunkten bewerteten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>Einzelmaßnahmen werden entsprechend in die Maßnahmenliste 202</w:t>
      </w:r>
      <w:r>
        <w:rPr>
          <w:rFonts w:ascii="Arial" w:hAnsi="Arial" w:cs="Arial"/>
        </w:rPr>
        <w:t>5</w:t>
      </w:r>
      <w:r w:rsidRPr="00D85038">
        <w:rPr>
          <w:rFonts w:ascii="Arial" w:hAnsi="Arial" w:cs="Arial"/>
        </w:rPr>
        <w:t xml:space="preserve"> des Landkreises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 xml:space="preserve">eingestuft und </w:t>
      </w:r>
      <w:r>
        <w:rPr>
          <w:rFonts w:ascii="Arial" w:hAnsi="Arial" w:cs="Arial"/>
        </w:rPr>
        <w:t>n</w:t>
      </w:r>
      <w:r w:rsidRPr="00D85038">
        <w:rPr>
          <w:rFonts w:ascii="Arial" w:hAnsi="Arial" w:cs="Arial"/>
        </w:rPr>
        <w:t>ach Bestätigung durch den Sozial- und Gesundheitsausschuss (SGA) des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 xml:space="preserve">Landkreises </w:t>
      </w:r>
      <w:r>
        <w:rPr>
          <w:rFonts w:ascii="Arial" w:hAnsi="Arial" w:cs="Arial"/>
        </w:rPr>
        <w:t>Z</w:t>
      </w:r>
      <w:r w:rsidRPr="00D85038">
        <w:rPr>
          <w:rFonts w:ascii="Arial" w:hAnsi="Arial" w:cs="Arial"/>
        </w:rPr>
        <w:t>wickau voraussichtlich Ende Januar 202</w:t>
      </w:r>
      <w:r>
        <w:rPr>
          <w:rFonts w:ascii="Arial" w:hAnsi="Arial" w:cs="Arial"/>
        </w:rPr>
        <w:t>5</w:t>
      </w:r>
      <w:r w:rsidRPr="00D85038">
        <w:rPr>
          <w:rFonts w:ascii="Arial" w:hAnsi="Arial" w:cs="Arial"/>
        </w:rPr>
        <w:t xml:space="preserve"> bei der SAB beantragt.</w:t>
      </w:r>
    </w:p>
    <w:p w:rsidR="001E1127" w:rsidRPr="00D85038" w:rsidRDefault="001E1127" w:rsidP="001E1127">
      <w:pPr>
        <w:pStyle w:val="KeinLeerraum"/>
        <w:tabs>
          <w:tab w:val="left" w:pos="52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1127" w:rsidRDefault="001E1127" w:rsidP="001E1127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lastRenderedPageBreak/>
        <w:t>Die Ausreichung der Förderbewilligung der durch die SAB bestätigten Maßnahmen erfolgt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>durch den Landkreis mittels Zuwendungsbescheid an die jeweiligen Träger. Erst nach</w:t>
      </w:r>
      <w:r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>Bewilligung kann das Vorhaben vom Träger umgesetzt werden.</w:t>
      </w:r>
    </w:p>
    <w:p w:rsidR="001E1127" w:rsidRPr="001E1127" w:rsidRDefault="001E1127" w:rsidP="001E1127">
      <w:pPr>
        <w:pStyle w:val="KeinLeerraum"/>
        <w:rPr>
          <w:rFonts w:ascii="Arial" w:hAnsi="Arial" w:cs="Arial"/>
        </w:rPr>
      </w:pPr>
    </w:p>
    <w:sectPr w:rsidR="001E1127" w:rsidRPr="001E112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27" w:rsidRDefault="001E1127" w:rsidP="001E1127">
      <w:pPr>
        <w:spacing w:after="0" w:line="240" w:lineRule="auto"/>
      </w:pPr>
      <w:r>
        <w:separator/>
      </w:r>
    </w:p>
  </w:endnote>
  <w:endnote w:type="continuationSeparator" w:id="0">
    <w:p w:rsidR="001E1127" w:rsidRDefault="001E1127" w:rsidP="001E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729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1E1127" w:rsidRPr="001E1127" w:rsidRDefault="001E1127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1127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E1127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1E11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E1127" w:rsidRDefault="001E11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27" w:rsidRDefault="001E1127" w:rsidP="001E1127">
      <w:pPr>
        <w:spacing w:after="0" w:line="240" w:lineRule="auto"/>
      </w:pPr>
      <w:r>
        <w:separator/>
      </w:r>
    </w:p>
  </w:footnote>
  <w:footnote w:type="continuationSeparator" w:id="0">
    <w:p w:rsidR="001E1127" w:rsidRDefault="001E1127" w:rsidP="001E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07A"/>
    <w:multiLevelType w:val="hybridMultilevel"/>
    <w:tmpl w:val="63425EC6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432364"/>
    <w:multiLevelType w:val="hybridMultilevel"/>
    <w:tmpl w:val="D3DA031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015A27"/>
    <w:multiLevelType w:val="hybridMultilevel"/>
    <w:tmpl w:val="4922120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2B7922"/>
    <w:multiLevelType w:val="hybridMultilevel"/>
    <w:tmpl w:val="0810994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27"/>
    <w:rsid w:val="001E1127"/>
    <w:rsid w:val="00F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3054"/>
  <w15:chartTrackingRefBased/>
  <w15:docId w15:val="{CFE7AE64-902B-4A5B-B693-45538E1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12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E112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E11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1127"/>
  </w:style>
  <w:style w:type="paragraph" w:styleId="Fuzeile">
    <w:name w:val="footer"/>
    <w:basedOn w:val="Standard"/>
    <w:link w:val="FuzeileZchn"/>
    <w:uiPriority w:val="99"/>
    <w:unhideWhenUsed/>
    <w:rsid w:val="001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Zwickau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Schumann, Stefanie</dc:creator>
  <cp:keywords/>
  <dc:description/>
  <cp:lastModifiedBy>Schumann, Stefanie</cp:lastModifiedBy>
  <cp:revision>1</cp:revision>
  <dcterms:created xsi:type="dcterms:W3CDTF">2024-03-27T08:37:00Z</dcterms:created>
  <dcterms:modified xsi:type="dcterms:W3CDTF">2024-03-27T08:50:00Z</dcterms:modified>
</cp:coreProperties>
</file>